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numbering.xml" ContentType="application/vnd.openxmlformats-officedocument.wordprocessingml.numbering+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579755</wp:posOffset>
            </wp:positionH>
            <wp:positionV relativeFrom="page">
              <wp:posOffset>356870</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sz w:val="16"/>
          <w:szCs w:val="16"/>
        </w:rPr>
      </w:pPr>
      <w:r>
        <w:rPr>
          <w:rFonts w:cs="Arial" w:ascii="Arial" w:hAnsi="Arial"/>
          <w:b/>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pPr>
      <w:r>
        <w:rPr>
          <w:rFonts w:cs="Arial" w:ascii="Arial" w:hAnsi="Arial"/>
          <w:b w:val="false"/>
          <w:bCs w:val="false"/>
          <w:sz w:val="24"/>
          <w:szCs w:val="24"/>
        </w:rPr>
        <w:t>MARCH</w:t>
      </w:r>
      <w:r>
        <w:rPr>
          <w:rFonts w:cs="Arial" w:ascii="Arial" w:hAnsi="Arial"/>
          <w:b w:val="false"/>
          <w:bCs w:val="false"/>
          <w:sz w:val="24"/>
          <w:szCs w:val="24"/>
        </w:rPr>
        <w:t>É</w:t>
      </w:r>
      <w:r>
        <w:rPr>
          <w:rFonts w:cs="Arial" w:ascii="Arial" w:hAnsi="Arial"/>
          <w:b w:val="false"/>
          <w:bCs w:val="false"/>
          <w:sz w:val="24"/>
          <w:szCs w:val="24"/>
        </w:rPr>
        <w:t xml:space="preserve"> PUBLIC DE </w:t>
      </w:r>
      <w:r>
        <w:rPr>
          <w:rFonts w:cs="Arial" w:ascii="Arial" w:hAnsi="Arial"/>
          <w:b w:val="false"/>
          <w:bCs w:val="false"/>
          <w:color w:val="000000"/>
          <w:sz w:val="24"/>
          <w:szCs w:val="24"/>
        </w:rPr>
        <w:t>TRAVAUX</w:t>
      </w:r>
      <w:r>
        <w:rPr>
          <w:rFonts w:cs="Arial" w:ascii="Arial" w:hAnsi="Arial"/>
          <w:b w:val="false"/>
          <w:bCs w:val="false"/>
          <w:color w:val="0000FF"/>
          <w:sz w:val="24"/>
          <w:szCs w:val="24"/>
        </w:rPr>
        <w:t xml:space="preserve"> </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FF"/>
          <w:sz w:val="16"/>
          <w:szCs w:val="16"/>
        </w:rPr>
      </w:pPr>
      <w:r>
        <w:rPr>
          <w:rFonts w:cs="Arial" w:ascii="Arial" w:hAnsi="Arial"/>
          <w:b/>
          <w:bCs/>
          <w:color w:val="0000FF"/>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sz w:val="24"/>
          <w:szCs w:val="24"/>
        </w:rPr>
      </w:pPr>
      <w:r>
        <w:rPr>
          <w:rFonts w:cs="Arial" w:ascii="Arial" w:hAnsi="Arial"/>
          <w:bCs/>
          <w:sz w:val="24"/>
          <w:szCs w:val="24"/>
        </w:rPr>
        <w:t>P</w:t>
      </w:r>
      <w:r>
        <w:rPr>
          <w:rFonts w:cs="Arial" w:ascii="Arial" w:hAnsi="Arial"/>
          <w:bCs/>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sz w:val="24"/>
          <w:szCs w:val="24"/>
        </w:rPr>
      </w:pPr>
      <w:r>
        <w:rPr>
          <w:rFonts w:cs="Arial" w:ascii="Arial" w:hAnsi="Arial"/>
          <w:bCs/>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rPr>
      </w:pPr>
      <w:r>
        <w:rPr>
          <w:rFonts w:cs="Arial" w:ascii="Arial" w:hAnsi="Arial"/>
          <w:b/>
          <w:bCs/>
          <w:color w:val="000000"/>
          <w:sz w:val="16"/>
        </w:rPr>
        <w:br/>
      </w:r>
      <w:r>
        <w:rPr>
          <w:rFonts w:cs="Arial" w:ascii="Marianne" w:hAnsi="Marianne"/>
          <w:b/>
          <w:bCs/>
          <w:color w:val="000000"/>
          <w:sz w:val="30"/>
          <w:szCs w:val="30"/>
        </w:rPr>
        <w:t>OISSEL</w:t>
      </w:r>
      <w:r>
        <w:rPr>
          <w:rFonts w:cs="Arial" w:ascii="Marianne" w:hAnsi="Marianne"/>
          <w:b/>
          <w:bCs/>
          <w:color w:val="000000"/>
          <w:sz w:val="30"/>
          <w:szCs w:val="30"/>
        </w:rPr>
        <w:t xml:space="preserve"> (</w:t>
      </w:r>
      <w:r>
        <w:rPr>
          <w:rFonts w:cs="Arial" w:ascii="Marianne" w:hAnsi="Marianne"/>
          <w:b/>
          <w:bCs/>
          <w:color w:val="000000"/>
          <w:sz w:val="30"/>
          <w:szCs w:val="30"/>
        </w:rPr>
        <w:t>76</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de gros entretien et réparations sur les bâtiments de stockage 36 et 38</w:t>
      </w:r>
      <w:r>
        <w:rPr>
          <w:rFonts w:cs="Arial" w:ascii="Marianne" w:hAnsi="Marianne"/>
          <w:b/>
          <w:bCs/>
          <w:color w:val="000000"/>
          <w:sz w:val="30"/>
          <w:szCs w:val="30"/>
        </w:rPr>
        <w:t xml:space="preserve">   </w:t>
      </w:r>
      <w:r>
        <w:rPr>
          <w:rFonts w:cs="Arial" w:ascii="Arial" w:hAnsi="Arial"/>
          <w:b/>
          <w:bCs/>
          <w:color w:val="000000"/>
          <w:sz w:val="40"/>
          <w:szCs w:val="26"/>
        </w:rPr>
        <w:b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4</w:t>
      </w:r>
      <w:r>
        <w:rPr>
          <w:rFonts w:cs="Arial" w:ascii="Arial" w:hAnsi="Arial"/>
          <w:b/>
          <w:bCs/>
          <w:color w:val="000000"/>
          <w:sz w:val="24"/>
          <w:szCs w:val="20"/>
        </w:rPr>
        <w:t xml:space="preserve"> – </w:t>
      </w:r>
      <w:r>
        <w:rPr>
          <w:rFonts w:cs="Arial" w:ascii="Arial" w:hAnsi="Arial"/>
          <w:b/>
          <w:bCs/>
          <w:color w:val="000000"/>
          <w:sz w:val="24"/>
          <w:szCs w:val="20"/>
        </w:rPr>
        <w:t>Traitement des façades</w:t>
      </w:r>
    </w:p>
    <w:p>
      <w:pPr>
        <w:pStyle w:val="Normal"/>
        <w:bidi w:val="0"/>
        <w:jc w:val="center"/>
        <w:rPr>
          <w:rFonts w:ascii="Arial" w:hAnsi="Arial" w:cs="Arial"/>
          <w:b/>
          <w:bCs/>
          <w:color w:val="000000"/>
          <w:sz w:val="24"/>
          <w:szCs w:val="20"/>
        </w:rPr>
      </w:pPr>
      <w:r>
        <w:rPr>
          <w:rFonts w:cs="Arial" w:ascii="Arial" w:hAnsi="Arial"/>
          <w:b/>
          <w:bCs/>
          <w:color w:val="000000"/>
          <w:sz w:val="24"/>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MAI</w:t>
      </w:r>
      <w:r>
        <w:rPr>
          <w:rFonts w:cs="Arial" w:ascii="Arial" w:hAnsi="Arial"/>
          <w:b/>
          <w:bCs/>
          <w:color w:val="000000"/>
          <w:sz w:val="24"/>
          <w:szCs w:val="20"/>
        </w:rPr>
        <w:t xml:space="preserve"> </w:t>
      </w:r>
      <w:r>
        <w:rPr>
          <w:rFonts w:cs="Arial" w:ascii="Arial" w:hAnsi="Arial"/>
          <w:b/>
          <w:bCs/>
          <w:color w:val="000000"/>
          <w:sz w:val="24"/>
          <w:szCs w:val="20"/>
        </w:rPr>
        <w:t>2026</w:t>
      </w:r>
      <w:r>
        <w:rPr>
          <w:rFonts w:cs="Arial" w:ascii="Arial" w:hAnsi="Arial"/>
          <w:b/>
          <w:bCs/>
          <w:color w:val="000000"/>
          <w:sz w:val="24"/>
          <w:szCs w:val="20"/>
        </w:rPr>
        <w:t xml:space="preserve"> </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rPr>
      </w:pPr>
      <w:r>
        <w:rPr>
          <w:i/>
          <w:iCs/>
        </w:rPr>
        <w:t>Partie ci-des</w:t>
      </w:r>
      <w:r>
        <w:rPr>
          <w:i/>
          <w:iCs/>
        </w:rPr>
        <w:t>s</w:t>
      </w:r>
      <w:r>
        <w:rPr>
          <w:i/>
          <w:iCs/>
        </w:rPr>
        <w:t>ous réservée à l’administration</w:t>
      </w:r>
    </w:p>
    <w:p>
      <w:pPr>
        <w:pStyle w:val="Normal"/>
        <w:bidi w:val="0"/>
        <w:jc w:val="both"/>
        <w:rPr/>
      </w:pPr>
      <w:r>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rPr>
      </w:pPr>
      <w:r>
        <w:rPr>
          <w:rFonts w:cs="Arial" w:ascii="Arial" w:hAnsi="Arial"/>
          <w:bCs/>
        </w:rPr>
      </w:r>
    </w:p>
    <w:p>
      <w:pPr>
        <w:pStyle w:val="courrier"/>
        <w:bidi w:val="0"/>
        <w:rPr>
          <w:rFonts w:ascii="Arial" w:hAnsi="Arial" w:cs="Arial"/>
          <w:bCs/>
        </w:rPr>
      </w:pPr>
      <w:r>
        <w:rPr>
          <w:rFonts w:cs="Arial" w:ascii="Arial" w:hAnsi="Arial"/>
          <w:bCs/>
        </w:rPr>
      </w:r>
    </w:p>
    <w:p>
      <w:pPr>
        <w:pStyle w:val="courrier"/>
        <w:bidi w:val="0"/>
        <w:rPr>
          <w:rFonts w:ascii="Arial" w:hAnsi="Arial" w:cs="Arial"/>
          <w:bCs/>
        </w:rPr>
      </w:pPr>
      <w:r>
        <w:rPr>
          <w:rFonts w:cs="Arial" w:ascii="Arial" w:hAnsi="Arial"/>
          <w:bCs/>
        </w:rPr>
      </w:r>
    </w:p>
    <w:p>
      <w:pPr>
        <w:pStyle w:val="Normal"/>
        <w:tabs>
          <w:tab w:val="clear" w:pos="709"/>
          <w:tab w:val="center" w:pos="4815" w:leader="none"/>
        </w:tabs>
        <w:bidi w:val="0"/>
        <w:rPr/>
      </w:pPr>
      <w:r>
        <w:rPr/>
        <w:tab/>
        <w:t xml:space="preserve">N°Chorus : </w:t>
      </w:r>
      <w:r>
        <w:rPr/>
        <w:t xml:space="preserve">Site </w:t>
      </w:r>
      <w:r>
        <w:rPr/>
        <w:t>140407</w:t>
      </w:r>
      <w:r>
        <w:rPr>
          <w:color w:val="FF00CC"/>
        </w:rPr>
        <w:t xml:space="preserve"> </w:t>
      </w:r>
      <w:r>
        <w:rPr>
          <w:color w:val="000000"/>
        </w:rPr>
        <w:t>– Bâtiment</w:t>
      </w:r>
      <w:r>
        <w:rPr>
          <w:color w:val="FF00CC"/>
        </w:rPr>
        <w:t xml:space="preserve"> </w:t>
      </w:r>
      <w:r>
        <w:rPr>
          <w:color w:val="000000"/>
        </w:rPr>
        <w:t>36 / 350736</w:t>
      </w:r>
      <w:r>
        <w:rPr>
          <w:color w:val="000000"/>
        </w:rPr>
        <w:t xml:space="preserve">, Bâtiment </w:t>
      </w:r>
      <w:r>
        <w:rPr>
          <w:color w:val="000000"/>
        </w:rPr>
        <w:t>38 / 350737</w:t>
      </w:r>
    </w:p>
    <w:p>
      <w:pPr>
        <w:pStyle w:val="Normal"/>
        <w:bidi w:val="0"/>
        <w:rPr/>
      </w:pPr>
      <w:r>
        <w:rPr/>
      </w:r>
    </w:p>
    <w:p>
      <w:pPr>
        <w:pStyle w:val="Normal"/>
        <w:bidi w:val="0"/>
        <w:rPr/>
      </w:pPr>
      <w:r>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13</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28_3351285205" w:tooltip="Tranche ferme : réhabilitation du bâtiments 36 et reprise sous-oeuvre du bâtiment 38">
            <w:r>
              <w:rPr>
                <w:rStyle w:val="Sautdindex"/>
              </w:rPr>
              <w:t>1. Tranche ferme : réhabilitation du bâtiments 36 et reprise sous-oeuvre du bâtiment 38</w:t>
              <w:tab/>
              <w:t>7</w:t>
            </w:r>
          </w:hyperlink>
        </w:p>
        <w:p>
          <w:pPr>
            <w:pStyle w:val="TOC3"/>
            <w:tabs>
              <w:tab w:val="clear" w:pos="9072"/>
              <w:tab w:val="right" w:pos="9637" w:leader="dot"/>
            </w:tabs>
            <w:bidi w:val="0"/>
            <w:rPr/>
          </w:pPr>
          <w:hyperlink w:anchor="__RefHeading___Toc9330_3351285205" w:tooltip=" Offre de base">
            <w:r>
              <w:rPr>
                <w:rStyle w:val="Sautdindex"/>
              </w:rPr>
              <w:t>a)  Offre de base</w:t>
              <w:tab/>
              <w:t>7</w:t>
            </w:r>
          </w:hyperlink>
        </w:p>
        <w:p>
          <w:pPr>
            <w:pStyle w:val="TOC2"/>
            <w:tabs>
              <w:tab w:val="clear" w:pos="709"/>
              <w:tab w:val="right" w:pos="9637" w:leader="dot"/>
            </w:tabs>
            <w:bidi w:val="0"/>
            <w:rPr/>
          </w:pPr>
          <w:hyperlink w:anchor="__RefHeading___Toc9336_3351285205" w:tooltip="Tranche optionnelle n°1 – Isolation du bâtiment 36">
            <w:r>
              <w:rPr>
                <w:rStyle w:val="Sautdindex"/>
              </w:rPr>
              <w:t>2. Tranche optionnelle n°1 – Isolation du bâtiment 36</w:t>
              <w:tab/>
              <w:t>7</w:t>
            </w:r>
          </w:hyperlink>
        </w:p>
        <w:p>
          <w:pPr>
            <w:pStyle w:val="TOC3"/>
            <w:tabs>
              <w:tab w:val="clear" w:pos="9072"/>
              <w:tab w:val="right" w:pos="9637" w:leader="dot"/>
            </w:tabs>
            <w:bidi w:val="0"/>
            <w:rPr/>
          </w:pPr>
          <w:hyperlink w:anchor="__RefHeading___Toc9338_3351285205" w:tooltip=" Offre de base">
            <w:r>
              <w:rPr>
                <w:rStyle w:val="Sautdindex"/>
              </w:rPr>
              <w:t>a)  Offre de base</w:t>
              <w:tab/>
              <w:t>7</w:t>
            </w:r>
          </w:hyperlink>
        </w:p>
        <w:p>
          <w:pPr>
            <w:pStyle w:val="TOC2"/>
            <w:tabs>
              <w:tab w:val="clear" w:pos="709"/>
              <w:tab w:val="right" w:pos="9637" w:leader="dot"/>
            </w:tabs>
            <w:bidi w:val="0"/>
            <w:rPr/>
          </w:pPr>
          <w:hyperlink w:anchor="__RefHeading___Toc9344_3351285205" w:tooltip="Sous-traitance">
            <w:r>
              <w:rPr>
                <w:rStyle w:val="Sautdindex"/>
              </w:rPr>
              <w:t>3. Sous-traitance</w:t>
              <w:tab/>
              <w:t>8</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8</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w:t>
      </w:r>
      <w:r>
        <w:rPr>
          <w:rFonts w:cs="Arial" w:ascii="Marianne" w:hAnsi="Marianne"/>
          <w:bCs/>
          <w:sz w:val="20"/>
        </w:rPr>
        <w:t>L.1211-1 du code de la commande publique</w:t>
      </w:r>
      <w:r>
        <w:rPr>
          <w:rFonts w:cs="Arial" w:ascii="Marianne" w:hAnsi="Marianne"/>
          <w:bCs/>
          <w:sz w:val="20"/>
        </w:rPr>
        <w:t> :</w:t>
      </w:r>
    </w:p>
    <w:p>
      <w:pPr>
        <w:pStyle w:val="Normal"/>
        <w:bidi w:val="0"/>
        <w:jc w:val="both"/>
        <w:rPr>
          <w:rFonts w:ascii="Marianne" w:hAnsi="Marianne" w:cs="Arial"/>
          <w:bCs/>
          <w:sz w:val="20"/>
        </w:rPr>
      </w:pPr>
      <w:r>
        <w:rPr>
          <w:rFonts w:cs="Arial" w:ascii="Marianne" w:hAnsi="Marianne"/>
          <w:bCs/>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 xml:space="preserve">a direction de l’immobilier </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color w:val="FF00CC"/>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Heading1"/>
        <w:bidi w:val="0"/>
        <w:jc w:val="start"/>
        <w:rPr>
          <w:rFonts w:ascii="Marianne" w:hAnsi="Marianne"/>
        </w:rPr>
      </w:pPr>
      <w:bookmarkStart w:id="1" w:name="__RefHeading___Toc3714_394951158"/>
      <w:bookmarkEnd w:id="1"/>
      <w:r>
        <w:rPr>
          <w:rFonts w:ascii="Marianne" w:hAnsi="Marianne"/>
        </w:rPr>
        <w:t>ARTICLE 2 – IDENTIFICATION DU CO-CONTRACTANT</w:t>
      </w:r>
    </w:p>
    <w:p>
      <w:pPr>
        <w:pStyle w:val="Normal"/>
        <w:tabs>
          <w:tab w:val="clear" w:pos="709"/>
        </w:tabs>
        <w:bidi w:val="0"/>
        <w:ind w:hanging="0" w:start="0" w:end="0"/>
        <w:jc w:val="both"/>
        <w:rPr>
          <w:rFonts w:ascii="Marianne" w:hAnsi="Marianne" w:cs="Arial"/>
          <w:sz w:val="20"/>
          <w:u w:val="single"/>
        </w:rPr>
      </w:pPr>
      <w:r>
        <w:rPr>
          <w:rFonts w:cs="Arial" w:ascii="Marianne" w:hAnsi="Marianne"/>
          <w:sz w:val="20"/>
          <w:u w:val="single"/>
        </w:rPr>
      </w:r>
    </w:p>
    <w:p>
      <w:pPr>
        <w:pStyle w:val="Normal"/>
        <w:tabs>
          <w:tab w:val="clear" w:pos="709"/>
        </w:tabs>
        <w:bidi w:val="0"/>
        <w:jc w:val="both"/>
        <w:rPr>
          <w:rFonts w:ascii="Marianne" w:hAnsi="Marianne" w:cs="Arial"/>
          <w:sz w:val="20"/>
        </w:rPr>
      </w:pPr>
      <w:r>
        <w:rPr>
          <w:rFonts w:cs="Arial" w:ascii="Marianne" w:hAnsi="Marianne"/>
          <w:sz w:val="20"/>
          <w:u w:val="none"/>
        </w:rPr>
        <w:t>A</w:t>
      </w:r>
      <w:r>
        <w:rPr>
          <w:rFonts w:cs="Arial" w:ascii="Marianne" w:hAnsi="Marianne"/>
          <w:sz w:val="20"/>
          <w:u w:val="none"/>
        </w:rPr>
        <w:t xml:space="preserve">près avoir pris connaissance </w:t>
      </w:r>
      <w:r>
        <w:rPr>
          <w:rFonts w:cs="Arial" w:ascii="Marianne" w:hAnsi="Marianne"/>
          <w:sz w:val="20"/>
          <w:u w:val="none"/>
        </w:rPr>
        <w:t>et accepté l</w:t>
      </w:r>
      <w:r>
        <w:rPr>
          <w:rFonts w:cs="Arial" w:ascii="Marianne" w:hAnsi="Marianne"/>
          <w:sz w:val="20"/>
          <w:u w:val="none"/>
        </w:rPr>
        <w:t>es pièces constitutives du marché indiquées dans</w:t>
      </w:r>
      <w:r>
        <w:rPr>
          <w:rFonts w:cs="Arial" w:ascii="Marianne" w:hAnsi="Marianne"/>
          <w:sz w:val="20"/>
          <w:u w:val="none"/>
        </w:rPr>
        <w:t xml:space="preserve"> le</w:t>
      </w:r>
      <w:r>
        <w:rPr>
          <w:rFonts w:cs="Arial" w:ascii="Marianne" w:hAnsi="Marianne"/>
          <w:sz w:val="20"/>
          <w:u w:val="none"/>
        </w:rPr>
        <w:t xml:space="preserve"> </w:t>
      </w:r>
      <w:r>
        <w:rPr>
          <w:rFonts w:cs="Arial" w:ascii="Marianne" w:hAnsi="Marianne"/>
          <w:sz w:val="20"/>
        </w:rPr>
        <w:t>Cahier des Clauses Administratives Particulières (</w:t>
      </w:r>
      <w:r>
        <w:rPr>
          <w:rFonts w:cs="Arial" w:ascii="Marianne" w:hAnsi="Marianne"/>
          <w:sz w:val="20"/>
        </w:rPr>
        <w:t>CCAP</w:t>
      </w:r>
      <w:r>
        <w:rPr>
          <w:rFonts w:cs="Arial" w:ascii="Marianne" w:hAnsi="Marianne"/>
          <w:sz w:val="20"/>
        </w:rPr>
        <w:t xml:space="preserve">) </w:t>
      </w:r>
      <w:r>
        <w:rPr>
          <w:rFonts w:cs="Arial" w:ascii="Marianne" w:hAnsi="Marianne"/>
          <w:sz w:val="20"/>
        </w:rPr>
        <w:t>et conformément à leurs clauses et stipulations,</w:t>
      </w:r>
    </w:p>
    <w:p>
      <w:pPr>
        <w:pStyle w:val="Normal"/>
        <w:tabs>
          <w:tab w:val="clear" w:pos="709"/>
        </w:tabs>
        <w:bidi w:val="0"/>
        <w:jc w:val="both"/>
        <w:rPr>
          <w:rFonts w:ascii="Marianne" w:hAnsi="Marianne" w:cs="Arial"/>
          <w:sz w:val="20"/>
        </w:rPr>
      </w:pPr>
      <w:r>
        <w:rPr>
          <w:rFonts w:cs="Arial" w:ascii="Marianne" w:hAnsi="Marianne"/>
          <w:sz w:val="20"/>
        </w:rPr>
      </w:r>
    </w:p>
    <w:p>
      <w:pPr>
        <w:pStyle w:val="Normal"/>
        <w:tabs>
          <w:tab w:val="clear" w:pos="709"/>
        </w:tabs>
        <w:bidi w:val="0"/>
        <w:jc w:val="both"/>
        <w:rPr>
          <w:rFonts w:ascii="Marianne" w:hAnsi="Marianne" w:cs="Arial"/>
          <w:sz w:val="20"/>
        </w:rPr>
      </w:pPr>
      <w:r>
        <w:rPr>
          <w:rFonts w:cs="Arial" w:ascii="Marianne" w:hAnsi="Marianne"/>
          <w:sz w:val="20"/>
        </w:rPr>
        <w:t>E</w:t>
      </w:r>
      <w:r>
        <w:rPr>
          <w:rFonts w:cs="Arial" w:ascii="Marianne" w:hAnsi="Marianne"/>
          <w:sz w:val="20"/>
        </w:rPr>
        <w:t xml:space="preserve">t après avoir </w:t>
      </w:r>
      <w:r>
        <w:rPr>
          <w:rFonts w:cs="Arial" w:ascii="Marianne" w:hAnsi="Marianne"/>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i/>
          <w:iCs/>
          <w:color w:val="000000"/>
          <w:kern w:val="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2" w:name="__RefHeading___Toc3716_394951158"/>
      <w:bookmarkEnd w:id="2"/>
      <w:r>
        <w:rPr>
          <w:rFonts w:ascii="Marianne" w:hAnsi="Marianne"/>
        </w:rPr>
        <w:t>Candidature individuelle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rPr>
        <w:t xml:space="preserve"> </w:t>
      </w:r>
      <w:r>
        <w:rPr>
          <w:rFonts w:ascii="Marianne" w:hAnsi="Marianne"/>
          <w:b/>
          <w:bCs/>
        </w:rPr>
        <w:t xml:space="preserve">se conformer aux clauses du </w:t>
      </w:r>
      <w:r>
        <w:rPr>
          <w:rFonts w:ascii="Marianne" w:hAnsi="Marianne"/>
          <w:b/>
          <w:bCs/>
        </w:rPr>
        <w:t>marché</w:t>
      </w:r>
      <w:r>
        <w:rPr>
          <w:rFonts w:ascii="Marianne" w:hAnsi="Marianne"/>
          <w:b/>
          <w:bCs/>
        </w:rPr>
        <w:t xml:space="preserve"> </w:t>
      </w:r>
      <w:r>
        <w:rPr>
          <w:rFonts w:ascii="Marianne" w:hAnsi="Marianne"/>
          <w:b/>
          <w:bCs/>
        </w:rPr>
        <w:t>et</w:t>
      </w:r>
      <w:r>
        <w:rPr>
          <w:rFonts w:ascii="Marianne" w:hAnsi="Marianne"/>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3" w:name="__RefHeading___Toc3718_394951158"/>
      <w:bookmarkEnd w:id="3"/>
      <w:r>
        <w:rPr>
          <w:rFonts w:ascii="Marianne" w:hAnsi="Marianne"/>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bidi w:val="0"/>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rPr>
      </w:pPr>
      <w:r>
        <w:rPr>
          <w:rFonts w:eastAsia="Times New Roman" w:ascii="Marianne" w:hAnsi="Marianne"/>
          <w:b/>
          <w:szCs w:val="20"/>
          <w:u w:val="none"/>
          <w:shd w:fill="auto" w:val="clear"/>
          <w:lang w:val="fr-FR" w:bidi="ar-SA"/>
        </w:rPr>
        <w:t xml:space="preserve">s’engage, au nom des membres du groupement, sur la base de l’offre du groupement, </w:t>
      </w:r>
      <w:r>
        <w:rPr>
          <w:rFonts w:ascii="Marianne" w:hAnsi="Marianne"/>
          <w:b/>
        </w:rPr>
        <w:t xml:space="preserve">à se conformer aux clauses du </w:t>
      </w:r>
      <w:r>
        <w:rPr>
          <w:rFonts w:ascii="Marianne" w:hAnsi="Marianne"/>
          <w:b/>
        </w:rPr>
        <w:t>marché</w:t>
      </w:r>
      <w:r>
        <w:rPr>
          <w:rFonts w:ascii="Marianne" w:hAnsi="Marianne"/>
          <w:b/>
        </w:rPr>
        <w:t xml:space="preserve"> </w:t>
      </w:r>
      <w:r>
        <w:rPr>
          <w:rFonts w:ascii="Marianne" w:hAnsi="Marianne"/>
          <w:b/>
        </w:rPr>
        <w:t xml:space="preserve">et </w:t>
      </w:r>
      <w:r>
        <w:rPr>
          <w:rFonts w:eastAsia="Times New Roman" w:ascii="Marianne" w:hAnsi="Marianne"/>
          <w:b/>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rPr>
      </w:pPr>
      <w:r>
        <w:rPr>
          <w:rFonts w:ascii="Marianne" w:hAnsi="Marianne"/>
        </w:rPr>
      </w:r>
    </w:p>
    <w:p>
      <w:pPr>
        <w:pStyle w:val="Heading1"/>
        <w:bidi w:val="0"/>
        <w:jc w:val="start"/>
        <w:rPr>
          <w:rFonts w:ascii="Marianne" w:hAnsi="Marianne"/>
        </w:rPr>
      </w:pPr>
      <w:bookmarkStart w:id="4" w:name="__RefHeading___Toc11441_3535358946"/>
      <w:bookmarkEnd w:id="4"/>
      <w:r>
        <w:rPr>
          <w:rFonts w:ascii="Marianne" w:hAnsi="Marianne"/>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rPr>
      </w:pPr>
      <w:r>
        <w:rPr>
          <w:rFonts w:cs="Arial" w:ascii="Marianne" w:hAnsi="Marianne"/>
          <w:sz w:val="20"/>
        </w:rPr>
        <w:t xml:space="preserve">L'offre ainsi présentée ne me (ne nous) lie toutefois que si son acceptation m'est (nous est) notifiée dans un délai </w:t>
      </w:r>
      <w:r>
        <w:rPr>
          <w:rFonts w:cs="Arial" w:ascii="Marianne" w:hAnsi="Marianne"/>
          <w:color w:val="000000"/>
          <w:sz w:val="20"/>
        </w:rPr>
        <w:t xml:space="preserve">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rPr>
      </w:pPr>
      <w:bookmarkStart w:id="5" w:name="__RefHeading___Toc3720_394951158"/>
      <w:bookmarkEnd w:id="5"/>
      <w:r>
        <w:rPr>
          <w:rFonts w:ascii="Marianne" w:hAnsi="Marianne"/>
        </w:rPr>
        <w:t xml:space="preserve">ARTICLE 4 – </w:t>
      </w:r>
      <w:r>
        <w:rPr>
          <w:rFonts w:ascii="Marianne" w:hAnsi="Marianne"/>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6" w:name="__RefHeading___Toc3722_394951158"/>
      <w:bookmarkEnd w:id="6"/>
      <w:r>
        <w:rPr>
          <w:rFonts w:ascii="Marianne" w:hAnsi="Marianne"/>
        </w:rPr>
        <w:t>Objet du marché</w:t>
      </w:r>
    </w:p>
    <w:p>
      <w:pPr>
        <w:pStyle w:val="Normal"/>
        <w:bidi w:val="0"/>
        <w:rPr>
          <w:rFonts w:ascii="Marianne" w:hAnsi="Marianne"/>
        </w:rPr>
      </w:pPr>
      <w:r>
        <w:rPr>
          <w:rFonts w:ascii="Marianne" w:hAnsi="Marianne"/>
        </w:rPr>
      </w:r>
    </w:p>
    <w:p>
      <w:pPr>
        <w:pStyle w:val="Normal"/>
        <w:bidi w:val="0"/>
        <w:jc w:val="both"/>
        <w:rPr>
          <w:rFonts w:ascii="Marianne" w:hAnsi="Marianne" w:cs="Arial"/>
          <w:sz w:val="20"/>
        </w:rPr>
      </w:pPr>
      <w:r>
        <w:rPr>
          <w:rFonts w:cs="Arial" w:ascii="Marianne" w:hAnsi="Marianne"/>
          <w:sz w:val="20"/>
        </w:rPr>
        <w:t>L</w:t>
      </w:r>
      <w:r>
        <w:rPr>
          <w:rFonts w:cs="Arial" w:ascii="Marianne" w:hAnsi="Marianne"/>
          <w:sz w:val="20"/>
        </w:rPr>
        <w:t>e</w:t>
      </w:r>
      <w:r>
        <w:rPr>
          <w:rFonts w:cs="Arial" w:ascii="Marianne" w:hAnsi="Marianne"/>
          <w:sz w:val="20"/>
        </w:rPr>
        <w:t xml:space="preserve"> présent </w:t>
      </w:r>
      <w:r>
        <w:rPr>
          <w:rFonts w:cs="Arial" w:ascii="Marianne" w:hAnsi="Marianne"/>
          <w:sz w:val="20"/>
        </w:rPr>
        <w:t xml:space="preserve">marché </w:t>
      </w:r>
      <w:r>
        <w:rPr>
          <w:rFonts w:cs="Arial" w:ascii="Marianne" w:hAnsi="Marianne"/>
          <w:sz w:val="20"/>
        </w:rPr>
        <w:t xml:space="preserve">concerne les </w:t>
      </w:r>
      <w:r>
        <w:rPr>
          <w:rFonts w:cs="Arial" w:ascii="Marianne" w:hAnsi="Marianne"/>
          <w:sz w:val="20"/>
        </w:rPr>
        <w:t>travaux</w:t>
      </w:r>
      <w:r>
        <w:rPr>
          <w:rFonts w:cs="Arial" w:ascii="Arial" w:hAnsi="Arial"/>
          <w:b w:val="false"/>
          <w:bCs w:val="false"/>
          <w:color w:val="000000"/>
          <w:sz w:val="20"/>
          <w:szCs w:val="20"/>
        </w:rPr>
        <w:t xml:space="preserve"> </w:t>
      </w:r>
      <w:r>
        <w:rPr>
          <w:rFonts w:cs="Arial" w:ascii="Marianne" w:hAnsi="Marianne"/>
          <w:b w:val="false"/>
          <w:bCs w:val="false"/>
          <w:color w:val="000000"/>
          <w:sz w:val="20"/>
          <w:szCs w:val="20"/>
        </w:rPr>
        <w:t>de gros entretien et réparations sur les bâtiments de stockage 36 et 38</w:t>
      </w:r>
      <w:r>
        <w:rPr>
          <w:rFonts w:cs="Arial" w:ascii="Marianne" w:hAnsi="Marianne"/>
          <w:b/>
          <w:color w:val="000000"/>
          <w:sz w:val="20"/>
          <w:szCs w:val="20"/>
        </w:rPr>
        <w:t xml:space="preserve"> </w:t>
      </w:r>
      <w:r>
        <w:rPr>
          <w:rFonts w:cs="Arial" w:ascii="Marianne" w:hAnsi="Marianne"/>
          <w:b w:val="false"/>
          <w:bCs w:val="false"/>
          <w:color w:val="000000"/>
          <w:sz w:val="20"/>
          <w:szCs w:val="20"/>
        </w:rPr>
        <w:t>à l’ENP de Oissel (76).</w:t>
      </w:r>
    </w:p>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eastAsia="Times New Roman" w:cs="Arial"/>
          <w:b w:val="false"/>
          <w:bCs/>
          <w:color w:val="000000"/>
          <w:sz w:val="20"/>
          <w:szCs w:val="20"/>
          <w:u w:val="none"/>
          <w:shd w:fill="FFFFFF" w:val="clear"/>
          <w:lang w:val="fr-FR" w:bidi="ar-SA"/>
        </w:rPr>
      </w:pPr>
      <w:r>
        <w:rPr>
          <w:rFonts w:eastAsia="Times New Roman" w:cs="Arial" w:ascii="Marianne" w:hAnsi="Marianne"/>
          <w:b w:val="false"/>
          <w:bCs/>
          <w:color w:val="000000"/>
          <w:sz w:val="20"/>
          <w:szCs w:val="20"/>
          <w:u w:val="none"/>
          <w:shd w:fill="FFFFFF" w:val="clear"/>
          <w:lang w:val="fr-FR" w:bidi="ar-SA"/>
        </w:rPr>
      </w:r>
    </w:p>
    <w:p>
      <w:pPr>
        <w:pStyle w:val="Heading1"/>
        <w:bidi w:val="0"/>
        <w:jc w:val="start"/>
        <w:rPr>
          <w:rFonts w:ascii="Marianne" w:hAnsi="Marianne"/>
        </w:rPr>
      </w:pPr>
      <w:bookmarkStart w:id="7" w:name="__RefHeading___Toc717_3351285205"/>
      <w:bookmarkEnd w:id="7"/>
      <w:r>
        <w:rPr>
          <w:rFonts w:ascii="Marianne" w:hAnsi="Marianne"/>
        </w:rPr>
        <w:t xml:space="preserve">ARTICLE </w:t>
      </w:r>
      <w:r>
        <w:rPr>
          <w:rFonts w:ascii="Marianne" w:hAnsi="Marianne"/>
        </w:rPr>
        <w:t>5</w:t>
      </w:r>
      <w:r>
        <w:rPr>
          <w:rFonts w:ascii="Marianne" w:hAnsi="Marianne"/>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rPr>
      </w:pPr>
      <w:r>
        <w:rPr>
          <w:rFonts w:ascii="Marianne" w:hAnsi="Marianne"/>
        </w:rPr>
      </w:r>
    </w:p>
    <w:p>
      <w:pPr>
        <w:pStyle w:val="Heading2"/>
        <w:bidi w:val="0"/>
        <w:jc w:val="start"/>
        <w:rPr>
          <w:rFonts w:ascii="Marianne" w:hAnsi="Marianne"/>
        </w:rPr>
      </w:pPr>
      <w:bookmarkStart w:id="8" w:name="__RefHeading___Toc9328_3351285205"/>
      <w:bookmarkEnd w:id="8"/>
      <w:r>
        <w:rPr>
          <w:rFonts w:ascii="Marianne" w:hAnsi="Marianne"/>
        </w:rPr>
        <w:t xml:space="preserve">Tranche ferme : </w:t>
      </w:r>
      <w:r>
        <w:rPr>
          <w:rFonts w:ascii="Marianne" w:hAnsi="Marianne"/>
        </w:rPr>
        <w:t xml:space="preserve">réhabilitation du bâtiments 36 et reprise sous-oeuvre du bâtiment 38 </w:t>
      </w:r>
    </w:p>
    <w:p>
      <w:pPr>
        <w:pStyle w:val="Normal"/>
        <w:bidi w:val="0"/>
        <w:rPr>
          <w:rFonts w:ascii="Marianne" w:hAnsi="Marianne"/>
        </w:rPr>
      </w:pPr>
      <w:r>
        <w:rPr>
          <w:rFonts w:ascii="Marianne" w:hAnsi="Marianne"/>
        </w:rPr>
      </w:r>
    </w:p>
    <w:p>
      <w:pPr>
        <w:pStyle w:val="Heading3"/>
        <w:bidi w:val="0"/>
        <w:jc w:val="start"/>
        <w:rPr>
          <w:rFonts w:ascii="Marianne" w:hAnsi="Marianne"/>
        </w:rPr>
      </w:pPr>
      <w:bookmarkStart w:id="9" w:name="__RefHeading___Toc9330_3351285205"/>
      <w:bookmarkEnd w:id="9"/>
      <w:r>
        <w:rPr>
          <w:rFonts w:eastAsia="Times New Roman" w:cs="Times New Roman" w:ascii="Marianne" w:hAnsi="Marianne"/>
          <w:b w:val="false"/>
          <w:bCs/>
          <w:color w:val="0000FF"/>
          <w:sz w:val="28"/>
          <w:szCs w:val="28"/>
          <w:u w:val="none"/>
          <w:shd w:fill="auto" w:val="clear"/>
          <w:lang w:val="fr-FR" w:bidi="ar-SA"/>
        </w:rPr>
        <w:t xml:space="preserve"> </w:t>
      </w:r>
      <w:r>
        <w:rPr>
          <w:rFonts w:eastAsia="Times New Roman" w:cs="Times New Roman" w:ascii="Marianne" w:hAnsi="Marianne"/>
          <w:b w:val="false"/>
          <w:bCs/>
          <w:color w:val="0000FF"/>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Arial" w:cs="Arial" w:ascii="Marianne" w:hAnsi="Marianne"/>
          <w:b w:val="false"/>
          <w:bCs/>
          <w:color w:val="0000FF"/>
          <w:sz w:val="28"/>
          <w:szCs w:val="28"/>
          <w:u w:val="none"/>
          <w:shd w:fill="auto" w:val="clear"/>
          <w:lang w:val="fr-FR" w:bidi="ar-SA"/>
        </w:rPr>
        <w:t xml:space="preserve"> </w:t>
      </w:r>
      <w:r>
        <w:rPr>
          <w:rFonts w:ascii="Marianne" w:hAnsi="Marianne"/>
        </w:rPr>
        <w:t xml:space="preserve">Offre de base </w:t>
      </w:r>
    </w:p>
    <w:p>
      <w:pPr>
        <w:pStyle w:val="Normal"/>
        <w:bidi w:val="0"/>
        <w:jc w:val="both"/>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20,00 %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rHeight w:val="726"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TVA incluse</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cs="Arial"/>
          <w:sz w:val="20"/>
        </w:rPr>
      </w:pPr>
      <w:r>
        <w:rPr>
          <w:rFonts w:cs="Arial" w:ascii="Marianne" w:hAnsi="Marianne"/>
          <w:sz w:val="20"/>
        </w:rPr>
      </w:r>
    </w:p>
    <w:p>
      <w:pPr>
        <w:pStyle w:val="BodyTextIndent"/>
        <w:bidi w:val="0"/>
        <w:spacing w:before="0" w:after="120"/>
        <w:ind w:hanging="0" w:start="0" w:end="0"/>
        <w:jc w:val="start"/>
        <w:rPr>
          <w:rFonts w:ascii="Marianne" w:hAnsi="Marianne"/>
          <w:sz w:val="20"/>
        </w:rPr>
      </w:pPr>
      <w:r>
        <w:rPr>
          <w:rFonts w:cs="Arial" w:ascii="Marianne" w:hAnsi="Marianne"/>
          <w:vanish w:val="false"/>
          <w:sz w:val="20"/>
        </w:rPr>
        <w:t>(somme TTC en toutes lettres)  (</w:t>
      </w:r>
      <w:r>
        <w:rPr>
          <w:rFonts w:ascii="Marianne" w:hAnsi="Marianne"/>
          <w:vanish w:val="false"/>
          <w:sz w:val="20"/>
        </w:rPr>
        <w:t xml:space="preserve"> …………………………………………………………….………....................….</w:t>
      </w:r>
    </w:p>
    <w:p>
      <w:pPr>
        <w:pStyle w:val="Normal"/>
        <w:bidi w:val="0"/>
        <w:spacing w:before="120" w:after="0"/>
        <w:jc w:val="both"/>
        <w:rPr>
          <w:rFonts w:ascii="Marianne" w:hAnsi="Marianne" w:cs="Arial"/>
          <w:sz w:val="20"/>
        </w:rPr>
      </w:pPr>
      <w:r>
        <w:rPr>
          <w:rFonts w:eastAsia="Arial" w:cs="Arial" w:ascii="Marianne" w:hAnsi="Marianne"/>
          <w:sz w:val="20"/>
        </w:rPr>
        <w:t xml:space="preserve"> …………………………………………………………………</w:t>
      </w:r>
      <w:r>
        <w:rPr>
          <w:rFonts w:cs="Arial" w:ascii="Marianne" w:hAnsi="Marianne"/>
          <w:sz w:val="20"/>
        </w:rPr>
        <w:t>.…………..................………………….……....….)</w:t>
      </w:r>
    </w:p>
    <w:p>
      <w:pPr>
        <w:pStyle w:val="Normal"/>
        <w:bidi w:val="0"/>
        <w:rPr>
          <w:rFonts w:ascii="Marianne" w:hAnsi="Marianne"/>
        </w:rPr>
      </w:pPr>
      <w:r>
        <w:rPr>
          <w:rFonts w:ascii="Marianne" w:hAnsi="Marianne"/>
        </w:rPr>
      </w:r>
    </w:p>
    <w:p>
      <w:pPr>
        <w:pStyle w:val="Normal"/>
        <w:bidi w:val="0"/>
        <w:rPr>
          <w:rFonts w:ascii="Marianne" w:hAnsi="Marianne"/>
        </w:rPr>
      </w:pPr>
      <w:r>
        <w:rPr>
          <w:rFonts w:ascii="Marianne" w:hAnsi="Marianne"/>
        </w:rPr>
      </w:r>
    </w:p>
    <w:p>
      <w:pPr>
        <w:pStyle w:val="Heading2"/>
        <w:bidi w:val="0"/>
        <w:jc w:val="start"/>
        <w:rPr>
          <w:rFonts w:ascii="Marianne" w:hAnsi="Marianne"/>
        </w:rPr>
      </w:pPr>
      <w:bookmarkStart w:id="10" w:name="__RefHeading___Toc9336_3351285205"/>
      <w:bookmarkEnd w:id="10"/>
      <w:r>
        <w:rPr>
          <w:rFonts w:ascii="Marianne" w:hAnsi="Marianne"/>
        </w:rPr>
        <w:t xml:space="preserve">Tranche </w:t>
      </w:r>
      <w:r>
        <w:rPr>
          <w:rFonts w:ascii="Marianne" w:hAnsi="Marianne"/>
        </w:rPr>
        <w:t>optionnell</w:t>
      </w:r>
      <w:r>
        <w:rPr>
          <w:rFonts w:ascii="Marianne" w:hAnsi="Marianne"/>
          <w:color w:val="000000"/>
        </w:rPr>
        <w:t xml:space="preserve">e n°1 – </w:t>
      </w:r>
      <w:r>
        <w:rPr>
          <w:rFonts w:ascii="Marianne" w:hAnsi="Marianne"/>
          <w:color w:val="000000"/>
        </w:rPr>
        <w:t>Isolation du bâtiment 36</w:t>
      </w:r>
    </w:p>
    <w:p>
      <w:pPr>
        <w:pStyle w:val="Normal"/>
        <w:bidi w:val="0"/>
        <w:rPr>
          <w:rFonts w:ascii="Marianne" w:hAnsi="Marianne"/>
        </w:rPr>
      </w:pPr>
      <w:r>
        <w:rPr>
          <w:rFonts w:ascii="Marianne" w:hAnsi="Marianne"/>
        </w:rPr>
      </w:r>
    </w:p>
    <w:p>
      <w:pPr>
        <w:pStyle w:val="Heading3"/>
        <w:bidi w:val="0"/>
        <w:jc w:val="start"/>
        <w:rPr>
          <w:rFonts w:ascii="Marianne" w:hAnsi="Marianne"/>
        </w:rPr>
      </w:pPr>
      <w:bookmarkStart w:id="11" w:name="__RefHeading___Toc9338_3351285205"/>
      <w:bookmarkEnd w:id="11"/>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Arial" w:cs="Arial" w:ascii="Marianne" w:hAnsi="Marianne"/>
          <w:b w:val="false"/>
          <w:bCs/>
          <w:color w:val="000000"/>
          <w:sz w:val="28"/>
          <w:szCs w:val="28"/>
          <w:u w:val="none"/>
          <w:shd w:fill="auto" w:val="clear"/>
          <w:lang w:val="fr-FR" w:bidi="ar-SA"/>
        </w:rPr>
        <w:t xml:space="preserve"> </w:t>
      </w:r>
      <w:r>
        <w:rPr>
          <w:rFonts w:ascii="Marianne" w:hAnsi="Marianne"/>
        </w:rPr>
        <w:t xml:space="preserve">Offre de base </w:t>
      </w:r>
    </w:p>
    <w:p>
      <w:pPr>
        <w:pStyle w:val="Normal"/>
        <w:bidi w:val="0"/>
        <w:jc w:val="both"/>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20,00 %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rHeight w:val="726"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TVA incluse</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cs="Arial"/>
          <w:sz w:val="20"/>
        </w:rPr>
      </w:pPr>
      <w:r>
        <w:rPr>
          <w:rFonts w:cs="Arial" w:ascii="Marianne" w:hAnsi="Marianne"/>
          <w:sz w:val="20"/>
        </w:rPr>
      </w:r>
    </w:p>
    <w:p>
      <w:pPr>
        <w:pStyle w:val="BodyTextIndent"/>
        <w:bidi w:val="0"/>
        <w:spacing w:before="0" w:after="120"/>
        <w:ind w:hanging="0" w:start="0" w:end="0"/>
        <w:jc w:val="start"/>
        <w:rPr>
          <w:rFonts w:ascii="Marianne" w:hAnsi="Marianne"/>
          <w:sz w:val="20"/>
        </w:rPr>
      </w:pPr>
      <w:r>
        <w:rPr>
          <w:rFonts w:cs="Arial" w:ascii="Marianne" w:hAnsi="Marianne"/>
          <w:vanish w:val="false"/>
          <w:sz w:val="20"/>
        </w:rPr>
        <w:t>(somme TTC en toutes lettres)  (</w:t>
      </w:r>
      <w:r>
        <w:rPr>
          <w:rFonts w:ascii="Marianne" w:hAnsi="Marianne"/>
          <w:vanish w:val="false"/>
          <w:sz w:val="20"/>
        </w:rPr>
        <w:t xml:space="preserve"> …………………………………………………………….………....................….</w:t>
      </w:r>
    </w:p>
    <w:p>
      <w:pPr>
        <w:pStyle w:val="Normal"/>
        <w:bidi w:val="0"/>
        <w:spacing w:before="120" w:after="0"/>
        <w:jc w:val="both"/>
        <w:rPr>
          <w:rFonts w:ascii="Marianne" w:hAnsi="Marianne" w:cs="Arial"/>
          <w:sz w:val="20"/>
        </w:rPr>
      </w:pPr>
      <w:r>
        <w:rPr>
          <w:rFonts w:eastAsia="Arial" w:cs="Arial" w:ascii="Marianne" w:hAnsi="Marianne"/>
          <w:sz w:val="20"/>
        </w:rPr>
        <w:t xml:space="preserve"> …………………………………………………………………</w:t>
      </w:r>
      <w:r>
        <w:rPr>
          <w:rFonts w:cs="Arial" w:ascii="Marianne" w:hAnsi="Marianne"/>
          <w:sz w:val="20"/>
        </w:rPr>
        <w:t>.…………..................………………….……....….)</w:t>
      </w:r>
    </w:p>
    <w:p>
      <w:pPr>
        <w:pStyle w:val="Normal"/>
        <w:bidi w:val="0"/>
        <w:rPr>
          <w:b w:val="false"/>
          <w:bCs w:val="false"/>
          <w:i/>
          <w:iCs/>
          <w:color w:val="FF00CC"/>
          <w:u w:val="none"/>
        </w:rPr>
      </w:pPr>
      <w:r>
        <w:rPr>
          <w:rFonts w:eastAsia="Times New Roman" w:cs="Arial" w:ascii="Marianne" w:hAnsi="Marianne"/>
          <w:b/>
          <w:bCs/>
          <w:i w:val="false"/>
          <w:iCs w:val="false"/>
          <w:color w:val="FF00FF"/>
          <w:sz w:val="24"/>
          <w:szCs w:val="24"/>
          <w:u w:val="none"/>
          <w:shd w:fill="FFFFFF" w:val="clear"/>
          <w:lang w:val="fr-FR" w:bidi="ar-SA"/>
        </w:rPr>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szCs w:val="24"/>
        </w:rPr>
        <w:t>Le contenu des prix est précisé dans le cahier des clauses administratives particulières du marché.</w:t>
      </w:r>
    </w:p>
    <w:p>
      <w:pPr>
        <w:pStyle w:val="Normal"/>
        <w:bidi w:val="0"/>
        <w:rPr>
          <w:rFonts w:cs="Open Sans"/>
          <w:szCs w:val="24"/>
        </w:rPr>
      </w:pPr>
      <w:r>
        <w:rPr>
          <w:rFonts w:ascii="Marianne" w:hAnsi="Marianne"/>
        </w:rPr>
      </w:r>
    </w:p>
    <w:p>
      <w:pPr>
        <w:pStyle w:val="Heading2"/>
        <w:bidi w:val="0"/>
        <w:jc w:val="start"/>
        <w:rPr>
          <w:rFonts w:ascii="Marianne" w:hAnsi="Marianne"/>
        </w:rPr>
      </w:pPr>
      <w:bookmarkStart w:id="12" w:name="__RefHeading___Toc9344_3351285205"/>
      <w:bookmarkEnd w:id="12"/>
      <w:r>
        <w:rPr>
          <w:rFonts w:ascii="Marianne" w:hAnsi="Marianne"/>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olor w:val="000000"/>
        </w:rPr>
      </w:pPr>
      <w:r>
        <w:rPr>
          <w:rFonts w:ascii="Marianne" w:hAnsi="Marianne"/>
          <w:color w:val="000000"/>
        </w:rPr>
      </w:r>
    </w:p>
    <w:p>
      <w:pPr>
        <w:pStyle w:val="Footer"/>
        <w:widowControl w:val="false"/>
        <w:tabs>
          <w:tab w:val="clear" w:pos="9072"/>
          <w:tab w:val="center" w:pos="4536" w:leader="none"/>
        </w:tabs>
        <w:bidi w:val="0"/>
        <w:jc w:val="start"/>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rPr>
      </w:pPr>
      <w:r>
        <w:rPr>
          <w:rFonts w:ascii="Marianne" w:hAnsi="Marianne"/>
        </w:rPr>
      </w:r>
    </w:p>
    <w:p>
      <w:pPr>
        <w:pStyle w:val="Normal"/>
        <w:bidi w:val="0"/>
        <w:jc w:val="both"/>
        <w:rPr>
          <w:rFonts w:ascii="Marianne" w:hAnsi="Marianne"/>
        </w:rPr>
      </w:pPr>
      <w:r>
        <w:rPr>
          <w:rFonts w:ascii="Marianne" w:hAnsi="Marianne"/>
        </w:rPr>
      </w:r>
    </w:p>
    <w:p>
      <w:pPr>
        <w:pStyle w:val="Normal"/>
        <w:bidi w:val="0"/>
        <w:rPr>
          <w:rFonts w:ascii="Marianne" w:hAnsi="Marianne"/>
          <w:color w:val="000000"/>
        </w:rPr>
      </w:pPr>
      <w:r>
        <w:rPr>
          <w:rFonts w:ascii="Marianne" w:hAnsi="Marianne"/>
          <w:color w:val="000000"/>
        </w:rPr>
      </w:r>
    </w:p>
    <w:p>
      <w:pPr>
        <w:pStyle w:val="Heading1"/>
        <w:bidi w:val="0"/>
        <w:jc w:val="start"/>
        <w:rPr>
          <w:rFonts w:ascii="Marianne" w:hAnsi="Marianne"/>
        </w:rPr>
      </w:pPr>
      <w:bookmarkStart w:id="13" w:name="__RefHeading___Toc9346_3351285205"/>
      <w:bookmarkEnd w:id="13"/>
      <w:r>
        <w:rPr>
          <w:rFonts w:ascii="Marianne" w:hAnsi="Marianne"/>
        </w:rPr>
        <w:t xml:space="preserve">ARTICLE </w:t>
      </w:r>
      <w:r>
        <w:rPr>
          <w:rFonts w:ascii="Marianne" w:hAnsi="Marianne"/>
        </w:rPr>
        <w:t xml:space="preserve">6 </w:t>
      </w:r>
      <w:r>
        <w:rPr>
          <w:rFonts w:ascii="Marianne" w:hAnsi="Marianne"/>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rPr>
      </w:pPr>
      <w:r>
        <w:rPr>
          <w:rFonts w:cs="Arial" w:ascii="Marianne" w:hAnsi="Marianne"/>
          <w:bCs/>
          <w:color w:val="000000"/>
        </w:rPr>
        <w:t>L</w:t>
      </w:r>
      <w:r>
        <w:rPr>
          <w:rFonts w:cs="Arial" w:ascii="Marianne" w:hAnsi="Marianne"/>
          <w:color w:val="000000"/>
        </w:rPr>
        <w:t>e délai global d’exécution du marché est fixé à,</w:t>
      </w:r>
    </w:p>
    <w:p>
      <w:pPr>
        <w:pStyle w:val="Normal"/>
        <w:bidi w:val="0"/>
        <w:spacing w:lineRule="auto" w:line="360"/>
        <w:jc w:val="both"/>
        <w:rPr>
          <w:rFonts w:ascii="Marianne" w:hAnsi="Marianne" w:cs="Arial"/>
          <w:color w:val="000000"/>
        </w:rPr>
      </w:pPr>
      <w:r>
        <w:rPr>
          <w:rFonts w:cs="Arial" w:ascii="Marianne" w:hAnsi="Marianne"/>
          <w:color w:val="000000"/>
        </w:rPr>
      </w:r>
    </w:p>
    <w:tbl>
      <w:tblPr>
        <w:tblW w:w="5000" w:type="pct"/>
        <w:jc w:val="start"/>
        <w:tblInd w:w="0" w:type="dxa"/>
        <w:tblLayout w:type="fixed"/>
        <w:tblCellMar>
          <w:top w:w="55" w:type="dxa"/>
          <w:start w:w="55" w:type="dxa"/>
          <w:bottom w:w="55" w:type="dxa"/>
          <w:end w:w="55" w:type="dxa"/>
        </w:tblCellMar>
      </w:tblPr>
      <w:tblGrid>
        <w:gridCol w:w="2408"/>
        <w:gridCol w:w="2410"/>
        <w:gridCol w:w="2409"/>
        <w:gridCol w:w="2411"/>
      </w:tblGrid>
      <w:tr>
        <w:trPr/>
        <w:tc>
          <w:tcPr>
            <w:tcW w:w="2408" w:type="dxa"/>
            <w:tcBorders>
              <w:top w:val="single" w:sz="2" w:space="0" w:color="000000"/>
              <w:start w:val="single" w:sz="2" w:space="0" w:color="000000"/>
              <w:bottom w:val="single" w:sz="2" w:space="0" w:color="000000"/>
            </w:tcBorders>
          </w:tcPr>
          <w:p>
            <w:pPr>
              <w:pStyle w:val="Contenudetableau"/>
              <w:bidi w:val="0"/>
              <w:rPr>
                <w:rFonts w:cs="Arial"/>
              </w:rPr>
            </w:pPr>
            <w:r>
              <w:rPr>
                <w:rFonts w:cs="Arial"/>
              </w:rPr>
            </w:r>
          </w:p>
        </w:tc>
        <w:tc>
          <w:tcPr>
            <w:tcW w:w="2410" w:type="dxa"/>
            <w:tcBorders>
              <w:top w:val="single" w:sz="2" w:space="0" w:color="000000"/>
              <w:start w:val="single" w:sz="2" w:space="0" w:color="000000"/>
              <w:bottom w:val="single" w:sz="2" w:space="0" w:color="000000"/>
            </w:tcBorders>
          </w:tcPr>
          <w:p>
            <w:pPr>
              <w:pStyle w:val="Contenudetableau"/>
              <w:bidi w:val="0"/>
              <w:jc w:val="center"/>
              <w:rPr>
                <w:rFonts w:cs="Arial"/>
                <w:b/>
                <w:bCs/>
              </w:rPr>
            </w:pPr>
            <w:r>
              <w:rPr>
                <w:rFonts w:cs="Arial"/>
                <w:b/>
                <w:bCs/>
              </w:rPr>
              <w:t>Délai de préparation</w:t>
            </w:r>
          </w:p>
        </w:tc>
        <w:tc>
          <w:tcPr>
            <w:tcW w:w="2409" w:type="dxa"/>
            <w:tcBorders>
              <w:top w:val="single" w:sz="2" w:space="0" w:color="000000"/>
              <w:start w:val="single" w:sz="2" w:space="0" w:color="000000"/>
              <w:bottom w:val="single" w:sz="2" w:space="0" w:color="000000"/>
            </w:tcBorders>
          </w:tcPr>
          <w:p>
            <w:pPr>
              <w:pStyle w:val="Contenudetableau"/>
              <w:bidi w:val="0"/>
              <w:jc w:val="center"/>
              <w:rPr>
                <w:rFonts w:cs="Arial"/>
                <w:b/>
                <w:bCs/>
              </w:rPr>
            </w:pPr>
            <w:r>
              <w:rPr>
                <w:rFonts w:cs="Arial"/>
                <w:b/>
                <w:bCs/>
              </w:rPr>
              <w:t>Exécution des travaux</w:t>
            </w:r>
          </w:p>
        </w:tc>
        <w:tc>
          <w:tcPr>
            <w:tcW w:w="2411" w:type="dxa"/>
            <w:tcBorders>
              <w:top w:val="single" w:sz="2" w:space="0" w:color="000000"/>
              <w:start w:val="single" w:sz="2" w:space="0" w:color="000000"/>
              <w:bottom w:val="single" w:sz="2" w:space="0" w:color="000000"/>
              <w:end w:val="single" w:sz="2" w:space="0" w:color="000000"/>
            </w:tcBorders>
          </w:tcPr>
          <w:p>
            <w:pPr>
              <w:pStyle w:val="Contenudetableau"/>
              <w:bidi w:val="0"/>
              <w:jc w:val="center"/>
              <w:rPr>
                <w:rFonts w:cs="Arial"/>
                <w:b/>
                <w:bCs/>
              </w:rPr>
            </w:pPr>
            <w:r>
              <w:rPr>
                <w:rFonts w:cs="Arial"/>
                <w:b/>
                <w:bCs/>
              </w:rPr>
              <w:t>Durée total de la tranche</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 xml:space="preserve">Tranche ferme </w:t>
            </w:r>
            <w:r>
              <w:rPr>
                <w:rFonts w:cs="Arial"/>
              </w:rPr>
              <w:t>pour le bâtiment 36</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 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5</w:t>
            </w:r>
            <w:r>
              <w:rPr>
                <w:rFonts w:cs="Arial"/>
              </w:rPr>
              <w:t xml:space="preserve"> mois</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7</w:t>
            </w:r>
            <w:r>
              <w:rPr>
                <w:rFonts w:cs="Arial"/>
              </w:rPr>
              <w:t xml:space="preserve"> mois</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 xml:space="preserve">Tranche ferme </w:t>
            </w:r>
            <w:r>
              <w:rPr>
                <w:rFonts w:cs="Arial"/>
              </w:rPr>
              <w:t>pour le bâtiment 38</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 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1 mois</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3 mois</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Tranche optionnelle 1</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w:t>
            </w:r>
            <w:r>
              <w:rPr>
                <w:rFonts w:cs="Arial"/>
              </w:rPr>
              <w:t xml:space="preserve"> </w:t>
            </w:r>
            <w:r>
              <w:rPr>
                <w:rFonts w:cs="Arial"/>
              </w:rPr>
              <w:t>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4</w:t>
            </w:r>
            <w:r>
              <w:rPr>
                <w:rFonts w:cs="Arial"/>
              </w:rPr>
              <w:t xml:space="preserve"> </w:t>
            </w:r>
            <w:r>
              <w:rPr>
                <w:rFonts w:cs="Arial"/>
              </w:rPr>
              <w:t xml:space="preserve">mois </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6</w:t>
            </w:r>
            <w:r>
              <w:rPr>
                <w:rFonts w:cs="Arial"/>
              </w:rPr>
              <w:t xml:space="preserve"> mois</w:t>
            </w:r>
          </w:p>
        </w:tc>
      </w:tr>
    </w:tbl>
    <w:p>
      <w:pPr>
        <w:pStyle w:val="Normal"/>
        <w:bidi w:val="0"/>
        <w:spacing w:lineRule="auto" w:line="360"/>
        <w:jc w:val="both"/>
        <w:rPr>
          <w:b/>
          <w:bCs/>
          <w:color w:val="000000"/>
        </w:rPr>
      </w:pPr>
      <w:r>
        <w:rPr>
          <w:rFonts w:cs="Arial" w:ascii="Marianne" w:hAnsi="Marianne"/>
        </w:rPr>
      </w:r>
    </w:p>
    <w:p>
      <w:pPr>
        <w:pStyle w:val="Normal"/>
        <w:bidi w:val="0"/>
        <w:rPr>
          <w:rFonts w:ascii="ArialMT" w:hAnsi="ArialMT"/>
          <w:b w:val="false"/>
          <w:i w:val="false"/>
          <w:color w:val="000000"/>
          <w:sz w:val="20"/>
        </w:rPr>
      </w:pPr>
      <w:r>
        <w:rPr>
          <w:rFonts w:ascii="ArialMT" w:hAnsi="ArialMT"/>
          <w:b w:val="false"/>
          <w:i w:val="false"/>
          <w:color w:val="000000"/>
          <w:sz w:val="20"/>
          <w:shd w:fill="auto" w:val="clear"/>
        </w:rPr>
        <w:t>Par dérogation, en cas d’affermissement d</w:t>
      </w:r>
      <w:r>
        <w:rPr>
          <w:rFonts w:ascii="ArialMT" w:hAnsi="ArialMT"/>
          <w:b w:val="false"/>
          <w:i w:val="false"/>
          <w:color w:val="000000"/>
          <w:sz w:val="20"/>
          <w:shd w:fill="auto" w:val="clear"/>
        </w:rPr>
        <w:t>e la</w:t>
      </w:r>
      <w:r>
        <w:rPr>
          <w:rFonts w:ascii="ArialMT" w:hAnsi="ArialMT"/>
          <w:b w:val="false"/>
          <w:i w:val="false"/>
          <w:color w:val="000000"/>
          <w:sz w:val="20"/>
          <w:shd w:fill="auto" w:val="clear"/>
        </w:rPr>
        <w:t xml:space="preserve"> tranche optionnelle en même temps que la tranche ferme, ces tranches simultanées feront l’objet d’une seule période de préparation de deux mois.</w:t>
      </w:r>
    </w:p>
    <w:p>
      <w:pPr>
        <w:pStyle w:val="Normal"/>
        <w:bidi w:val="0"/>
        <w:jc w:val="both"/>
        <w:rPr>
          <w:rFonts w:ascii="ArialMT" w:hAnsi="ArialMT"/>
          <w:b w:val="false"/>
          <w:i w:val="false"/>
          <w:sz w:val="20"/>
        </w:rPr>
      </w:pPr>
      <w:r>
        <w:rPr>
          <w:rFonts w:cs="Arial" w:ascii="Marianne" w:hAnsi="Marianne"/>
          <w:b/>
          <w:bCs/>
          <w:color w:val="000000"/>
          <w:shd w:fill="auto" w:val="clear"/>
        </w:rPr>
      </w:r>
    </w:p>
    <w:p>
      <w:pPr>
        <w:pStyle w:val="Normal"/>
        <w:bidi w:val="0"/>
        <w:jc w:val="both"/>
        <w:rPr>
          <w:rFonts w:ascii="Marianne" w:hAnsi="Marianne" w:cs="Arial"/>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1"/>
        <w:bidi w:val="0"/>
        <w:jc w:val="start"/>
        <w:rPr>
          <w:rFonts w:ascii="Marianne" w:hAnsi="Marianne"/>
        </w:rPr>
      </w:pPr>
      <w:bookmarkStart w:id="14" w:name="__RefHeading___Toc9348_3351285205"/>
      <w:bookmarkEnd w:id="14"/>
      <w:r>
        <w:rPr>
          <w:rFonts w:ascii="Marianne" w:hAnsi="Marianne"/>
        </w:rPr>
        <w:t>A</w:t>
      </w:r>
      <w:r>
        <w:rPr>
          <w:rFonts w:ascii="Marianne" w:hAnsi="Marianne"/>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rPr>
      </w:pPr>
      <w:bookmarkStart w:id="15" w:name="__RefHeading___Toc9350_3351285205"/>
      <w:bookmarkEnd w:id="15"/>
      <w:r>
        <w:rPr>
          <w:rFonts w:ascii="Marianne" w:hAnsi="Marianne"/>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2"/>
        <w:bidi w:val="0"/>
        <w:jc w:val="start"/>
        <w:rPr>
          <w:rFonts w:ascii="Marianne" w:hAnsi="Marianne"/>
        </w:rPr>
      </w:pPr>
      <w:bookmarkStart w:id="16" w:name="__RefHeading___Toc9352_3351285205"/>
      <w:bookmarkEnd w:id="16"/>
      <w:r>
        <w:rPr>
          <w:rFonts w:ascii="Marianne" w:hAnsi="Marianne"/>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7" w:name="__RefHeading___Toc9354_3351285205"/>
      <w:bookmarkEnd w:id="17"/>
      <w:r>
        <w:rPr>
          <w:rFonts w:ascii="Marianne" w:hAnsi="Marianne"/>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8" w:name="__RefHeading___Toc9356_3351285205"/>
      <w:bookmarkEnd w:id="18"/>
      <w:r>
        <w:rPr>
          <w:rFonts w:ascii="Marianne" w:hAnsi="Marianne"/>
        </w:rPr>
        <w:t>Paiement sur plusieurs comptes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Heading1"/>
        <w:bidi w:val="0"/>
        <w:jc w:val="start"/>
        <w:rPr>
          <w:rFonts w:ascii="Marianne" w:hAnsi="Marianne"/>
        </w:rPr>
      </w:pPr>
      <w:bookmarkStart w:id="19" w:name="__RefHeading___Toc34589_2526906876"/>
      <w:bookmarkEnd w:id="19"/>
      <w:r>
        <w:rPr>
          <w:rFonts w:ascii="Marianne" w:hAnsi="Marianne"/>
        </w:rPr>
        <w:t>ARTICLE 8 – SIGNATURES</w:t>
      </w:r>
    </w:p>
    <w:p>
      <w:pPr>
        <w:pStyle w:val="Normal"/>
        <w:bidi w:val="0"/>
        <w:rPr>
          <w:rFonts w:ascii="Marianne" w:hAnsi="Marianne"/>
        </w:rPr>
      </w:pPr>
      <w:r>
        <w:rPr>
          <w:rFonts w:ascii="Marianne" w:hAnsi="Marianne"/>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rPr>
            </w:pPr>
            <w:r>
              <w:rPr>
                <w:rFonts w:cs="Arial" w:ascii="Marianne" w:hAnsi="Marianne"/>
                <w:bCs/>
                <w:sz w:val="20"/>
                <w:u w:val="single"/>
              </w:rPr>
              <w:t>Visa</w:t>
            </w:r>
            <w:r>
              <w:rPr>
                <w:rFonts w:cs="Arial" w:ascii="Marianne" w:hAnsi="Marianne"/>
                <w:b w:val="false"/>
                <w:sz w:val="20"/>
              </w:rPr>
              <w:t xml:space="preserve">   (</w:t>
            </w:r>
            <w:r>
              <w:rPr>
                <w:rFonts w:cs="Arial" w:ascii="Marianne" w:hAnsi="Marianne"/>
                <w:b w:val="false"/>
                <w:i/>
                <w:iCs/>
                <w:sz w:val="18"/>
              </w:rPr>
              <w:t>en cas de contrôle a priori</w:t>
            </w:r>
            <w:r>
              <w:rPr>
                <w:rFonts w:cs="Arial" w:ascii="Marianne" w:hAnsi="Marianne"/>
                <w:b w:val="false"/>
                <w:sz w:val="20"/>
              </w:rPr>
              <w:t xml:space="preserve">)   </w:t>
            </w:r>
            <w:r>
              <w:rPr>
                <w:rFonts w:cs="Arial" w:ascii="Marianne" w:hAnsi="Marianne"/>
                <w:sz w:val="20"/>
              </w:rPr>
              <w:t>à  …………………………………..…..  le  …  …………  ……</w:t>
            </w:r>
          </w:p>
        </w:tc>
      </w:tr>
    </w:tbl>
    <w:p>
      <w:pPr>
        <w:pStyle w:val="Normal"/>
        <w:bidi w:val="0"/>
        <w:jc w:val="both"/>
        <w:rPr>
          <w:rFonts w:ascii="Marianne" w:hAnsi="Marianne"/>
          <w:sz w:val="20"/>
          <w:szCs w:val="24"/>
        </w:rPr>
      </w:pPr>
      <w:r>
        <w:rPr>
          <w:rFonts w:ascii="Marianne" w:hAnsi="Marianne"/>
          <w:sz w:val="20"/>
          <w:szCs w:val="24"/>
        </w:rPr>
      </w:r>
    </w:p>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Montant T.T.C. (en lettres) :</w:t>
            </w:r>
            <w:r>
              <w:rPr>
                <w:rFonts w:cs="Arial" w:ascii="Marianne" w:hAnsi="Marianne"/>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FF00CC"/>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sz w:val="20"/>
                <w:u w:val="none"/>
              </w:rPr>
            </w:pPr>
            <w:r>
              <w:rPr>
                <w:rFonts w:cs="Arial" w:ascii="Marianne" w:hAnsi="Marianne"/>
                <w:b/>
                <w:sz w:val="20"/>
                <w:u w:val="none"/>
              </w:rPr>
            </w:r>
          </w:p>
          <w:p>
            <w:pPr>
              <w:pStyle w:val="Normal"/>
              <w:tabs>
                <w:tab w:val="clear" w:pos="709"/>
              </w:tabs>
              <w:bidi w:val="0"/>
              <w:spacing w:before="0" w:after="312"/>
              <w:jc w:val="both"/>
              <w:rPr>
                <w:rFonts w:ascii="Marianne" w:hAnsi="Marianne" w:cs="Arial"/>
                <w:bCs/>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jc w:val="both"/>
              <w:rPr>
                <w:i/>
                <w:iCs/>
                <w:kern w:val="0"/>
              </w:rPr>
            </w:pPr>
            <w:r>
              <w:rPr>
                <w:rFonts w:cs="Arial" w:ascii="Marianne" w:hAnsi="Marianne"/>
                <w:bCs/>
                <w:color w:val="000000"/>
                <w:sz w:val="20"/>
              </w:rPr>
            </w:r>
          </w:p>
          <w:p>
            <w:pPr>
              <w:pStyle w:val="Heading8"/>
              <w:bidi w:val="0"/>
              <w:ind w:hanging="0" w:start="0"/>
              <w:rPr>
                <w:rFonts w:ascii="Marianne" w:hAnsi="Marianne" w:cs="Arial"/>
                <w:bCs/>
                <w:color w:val="000000"/>
                <w:sz w:val="20"/>
              </w:rPr>
            </w:pPr>
            <w:r>
              <w:rPr>
                <w:rFonts w:cs="Arial" w:ascii="Marianne" w:hAnsi="Marianne"/>
                <w:bCs/>
                <w:color w:val="000000"/>
                <w:sz w:val="20"/>
              </w:rPr>
            </w:r>
          </w:p>
          <w:p>
            <w:pPr>
              <w:pStyle w:val="Heading8"/>
              <w:keepNext w:val="true"/>
              <w:tabs>
                <w:tab w:val="clear" w:pos="709"/>
              </w:tabs>
              <w:bidi w:val="0"/>
              <w:spacing w:before="0" w:after="120"/>
              <w:ind w:hanging="0" w:start="5102" w:end="0"/>
              <w:jc w:val="both"/>
              <w:rPr>
                <w:rFonts w:ascii="Marianne" w:hAnsi="Marianne" w:cs="Arial"/>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20"/>
              </w:rPr>
            </w:pPr>
            <w:r>
              <w:rPr>
                <w:rFonts w:cs="Arial" w:ascii="Marianne" w:hAnsi="Marianne"/>
                <w:b/>
                <w:bCs/>
                <w:color w:val="000000"/>
                <w:sz w:val="20"/>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headerReference w:type="first" r:id="rId34"/>
      <w:footerReference w:type="default" r:id="rId35"/>
      <w:footerReference w:type="first" r:id="rId36"/>
      <w:type w:val="nextPage"/>
      <w:pgSz w:w="11906" w:h="16838"/>
      <w:pgMar w:left="1134" w:right="1134" w:gutter="0" w:header="435" w:top="1170" w:footer="608" w:bottom="1146"/>
      <w:pgNumType w:fmt="decimal"/>
      <w:formProt w:val="false"/>
      <w:titlePg/>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ArialMT">
    <w:charset w:val="00" w:characterSet="windows-1252"/>
    <w:family w:val="swiss"/>
    <w:pitch w:val="variable"/>
  </w:font>
  <w:font w:name="ArialMT">
    <w:charset w:val="00" w:characterSet="windows-1252"/>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ascii="Arial" w:hAnsi="Arial"/>
        <w:i/>
        <w:iCs/>
        <w:sz w:val="16"/>
        <w:szCs w:val="16"/>
      </w:rPr>
      <w:t>Acte d’engagement</w:t>
    </w:r>
    <w:r>
      <w:rPr>
        <w:rFonts w:cs="Arial" w:ascii="Arial" w:hAnsi="Arial"/>
        <w:i/>
        <w:iCs/>
        <w:sz w:val="16"/>
        <w:szCs w:val="16"/>
      </w:rPr>
      <w:tab/>
      <w:t>page</w:t>
    </w:r>
    <w:r>
      <w:rPr>
        <w:rFonts w:cs="Arial" w:ascii="Arial" w:hAnsi="Arial"/>
        <w:i/>
        <w:iCs/>
        <w:sz w:val="18"/>
        <w:szCs w:val="18"/>
      </w:rPr>
      <w:t xml:space="preserve"> </w:t>
    </w:r>
    <w:r>
      <w:rPr>
        <w:rStyle w:val="PageNumber"/>
        <w:rFonts w:cs="Arial" w:ascii="Arial" w:hAnsi="Arial"/>
        <w:i/>
        <w:iCs/>
        <w:sz w:val="16"/>
        <w:szCs w:val="16"/>
      </w:rPr>
      <w:fldChar w:fldCharType="begin"/>
    </w:r>
    <w:r>
      <w:rPr>
        <w:rStyle w:val="PageNumber"/>
        <w:rFonts w:cs="Arial" w:ascii="Arial" w:hAnsi="Arial"/>
        <w:i/>
        <w:iCs/>
        <w:sz w:val="16"/>
        <w:szCs w:val="16"/>
      </w:rPr>
      <w:instrText xml:space="preserve"> PAGE </w:instrText>
    </w:r>
    <w:r>
      <w:rPr>
        <w:rStyle w:val="PageNumber"/>
        <w:rFonts w:cs="Arial" w:ascii="Arial" w:hAnsi="Arial"/>
        <w:i/>
        <w:iCs/>
        <w:sz w:val="16"/>
        <w:szCs w:val="16"/>
      </w:rPr>
      <w:fldChar w:fldCharType="separate"/>
    </w:r>
    <w:r>
      <w:rPr>
        <w:rStyle w:val="PageNumber"/>
        <w:rFonts w:cs="Arial" w:ascii="Arial" w:hAnsi="Arial"/>
        <w:i/>
        <w:iCs/>
        <w:sz w:val="16"/>
        <w:szCs w:val="16"/>
      </w:rPr>
      <w:t>4</w:t>
    </w:r>
    <w:r>
      <w:rPr>
        <w:rStyle w:val="PageNumber"/>
        <w:rFonts w:cs="Arial" w:ascii="Arial" w:hAnsi="Arial"/>
        <w:i/>
        <w:iCs/>
        <w:sz w:val="16"/>
        <w:szCs w:val="16"/>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ascii="Arial" w:hAnsi="Arial"/>
        <w:i w:val="false"/>
        <w:iCs w:val="false"/>
        <w:sz w:val="18"/>
        <w:szCs w:val="18"/>
      </w:rPr>
      <w:t>Acte d’engagement</w:t>
    </w:r>
    <w:r>
      <w:rPr>
        <w:rFonts w:cs="Arial" w:ascii="Arial" w:hAnsi="Arial"/>
        <w:i/>
        <w:iCs/>
        <w:sz w:val="18"/>
        <w:szCs w:val="18"/>
      </w:rPr>
      <w:tab/>
      <w:t xml:space="preserve">page </w:t>
    </w:r>
    <w:r>
      <w:rPr>
        <w:rStyle w:val="PageNumber"/>
        <w:rFonts w:cs="Arial" w:ascii="Arial" w:hAnsi="Arial"/>
        <w:i/>
        <w:iCs/>
        <w:sz w:val="18"/>
        <w:szCs w:val="18"/>
      </w:rPr>
      <w:fldChar w:fldCharType="begin"/>
    </w:r>
    <w:r>
      <w:rPr>
        <w:rStyle w:val="PageNumber"/>
        <w:rFonts w:cs="Arial" w:ascii="Arial" w:hAnsi="Arial"/>
        <w:i/>
        <w:iCs/>
        <w:sz w:val="18"/>
        <w:szCs w:val="18"/>
      </w:rPr>
      <w:instrText xml:space="preserve"> PAGE </w:instrText>
    </w:r>
    <w:r>
      <w:rPr>
        <w:rStyle w:val="PageNumber"/>
        <w:rFonts w:cs="Arial" w:ascii="Arial" w:hAnsi="Arial"/>
        <w:i/>
        <w:iCs/>
        <w:sz w:val="18"/>
        <w:szCs w:val="18"/>
      </w:rPr>
      <w:fldChar w:fldCharType="separate"/>
    </w:r>
    <w:r>
      <w:rPr>
        <w:rStyle w:val="PageNumber"/>
        <w:rFonts w:cs="Arial" w:ascii="Arial" w:hAnsi="Arial"/>
        <w:i/>
        <w:iCs/>
        <w:sz w:val="18"/>
        <w:szCs w:val="18"/>
      </w:rPr>
      <w:t>1</w:t>
    </w:r>
    <w:r>
      <w:rPr>
        <w:rStyle w:val="PageNumber"/>
        <w:rFonts w:cs="Arial" w:ascii="Arial" w:hAnsi="Arial"/>
        <w:i/>
        <w:i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819"/>
        <w:tab w:val="clear" w:pos="9638"/>
        <w:tab w:val="center" w:pos="4536" w:leader="none"/>
        <w:tab w:val="right" w:pos="9639" w:leader="none"/>
      </w:tabs>
      <w:bidi w:val="0"/>
      <w:rPr>
        <w:rFonts w:ascii="Marianne" w:hAnsi="Marianne" w:cs="Arial"/>
        <w:i w:val="false"/>
        <w:iCs w:val="false"/>
        <w:color w:val="000000"/>
        <w:sz w:val="16"/>
        <w:lang w:val="de-DE"/>
      </w:rPr>
    </w:pPr>
    <w:r>
      <w:rPr>
        <w:rFonts w:cs="Arial" w:ascii="Marianne" w:hAnsi="Marianne"/>
        <w:i w:val="false"/>
        <w:iCs w:val="false"/>
        <w:color w:val="000000"/>
        <w:sz w:val="16"/>
        <w:lang w:val="de-DE"/>
      </w:rPr>
      <w:t>SGAMIO_ENP76_GER_BAT36_38</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user">
    <w:name w:val="Commentaire (user)"/>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paragraph" w:styleId="Commentaire">
    <w:name w:val="Commentaire"/>
    <w:basedOn w:val="Normal"/>
    <w:qFormat/>
    <w:pPr>
      <w:spacing w:lineRule="auto" w:line="240" w:before="56" w:after="0"/>
      <w:ind w:hanging="0" w:start="57" w:end="57"/>
    </w:pPr>
    <w:rPr>
      <w:color w:val="auto"/>
      <w:sz w:val="20"/>
      <w:szCs w:val="20"/>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header" Target="header2.xml"/><Relationship Id="rId35" Type="http://schemas.openxmlformats.org/officeDocument/2006/relationships/footer" Target="footer1.xml"/><Relationship Id="rId36" Type="http://schemas.openxmlformats.org/officeDocument/2006/relationships/footer" Target="footer2.xml"/><Relationship Id="rId37" Type="http://schemas.openxmlformats.org/officeDocument/2006/relationships/numbering" Target="numbering.xml"/><Relationship Id="rId38" Type="http://schemas.openxmlformats.org/officeDocument/2006/relationships/fontTable" Target="fontTable.xml"/><Relationship Id="rId39" Type="http://schemas.openxmlformats.org/officeDocument/2006/relationships/settings" Target="settings.xml"/><Relationship Id="rId40"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13</Pages>
  <Words>1963</Words>
  <Characters>10496</Characters>
  <CharactersWithSpaces>12433</CharactersWithSpaces>
  <Paragraphs>233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